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38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1009"/>
        <w:gridCol w:w="3075"/>
      </w:tblGrid>
      <w:tr w:rsidR="0093687E" w:rsidRPr="00CB29CD" w:rsidTr="00545EDE">
        <w:trPr>
          <w:trHeight w:val="14202"/>
          <w:tblCellSpacing w:w="15" w:type="dxa"/>
        </w:trPr>
        <w:tc>
          <w:tcPr>
            <w:tcW w:w="3784" w:type="pct"/>
            <w:tcMar>
              <w:top w:w="15" w:type="dxa"/>
              <w:left w:w="300" w:type="dxa"/>
              <w:bottom w:w="15" w:type="dxa"/>
              <w:right w:w="450" w:type="dxa"/>
            </w:tcMar>
          </w:tcPr>
          <w:p w:rsidR="0093687E" w:rsidRPr="00CB29CD" w:rsidRDefault="0093687E" w:rsidP="005E1730">
            <w:pPr>
              <w:spacing w:line="270" w:lineRule="atLeast"/>
            </w:pPr>
          </w:p>
          <w:p w:rsidR="0093687E" w:rsidRPr="00CB29CD" w:rsidRDefault="0093687E" w:rsidP="005E1730">
            <w:pPr>
              <w:jc w:val="center"/>
              <w:rPr>
                <w:b/>
              </w:rPr>
            </w:pPr>
            <w:r w:rsidRPr="00CB29CD">
              <w:rPr>
                <w:b/>
              </w:rPr>
              <w:t>Проектная декларация</w:t>
            </w:r>
          </w:p>
          <w:p w:rsidR="0093687E" w:rsidRPr="00CB29CD" w:rsidRDefault="0093687E" w:rsidP="005E1730">
            <w:pPr>
              <w:jc w:val="center"/>
            </w:pPr>
            <w:r w:rsidRPr="00CB29CD">
              <w:t>о проекте строительства по объекту:</w:t>
            </w:r>
          </w:p>
          <w:p w:rsidR="00FA65E0" w:rsidRPr="00CB29CD" w:rsidRDefault="00FA65E0" w:rsidP="00FA65E0">
            <w:pPr>
              <w:pStyle w:val="a3"/>
              <w:spacing w:line="270" w:lineRule="atLeast"/>
              <w:jc w:val="center"/>
              <w:rPr>
                <w:bCs/>
              </w:rPr>
            </w:pPr>
            <w:r w:rsidRPr="00CB29CD">
              <w:rPr>
                <w:bCs/>
              </w:rPr>
              <w:t>«Многоквартирный многоэтажный жилой дом (корпус 6</w:t>
            </w:r>
            <w:r w:rsidR="00D352C9" w:rsidRPr="00CB29CD">
              <w:rPr>
                <w:bCs/>
              </w:rPr>
              <w:t>/1</w:t>
            </w:r>
            <w:r w:rsidRPr="00CB29CD">
              <w:rPr>
                <w:bCs/>
              </w:rPr>
              <w:t xml:space="preserve">) из изделий серии ИП46С </w:t>
            </w:r>
            <w:r w:rsidRPr="00CB29CD">
              <w:rPr>
                <w:bCs/>
                <w:lang w:val="en-US"/>
              </w:rPr>
              <w:t>IV</w:t>
            </w:r>
            <w:r w:rsidRPr="00CB29CD">
              <w:rPr>
                <w:bCs/>
              </w:rPr>
              <w:t xml:space="preserve"> Северо-Восточного микрорайона г. Тула»</w:t>
            </w:r>
          </w:p>
          <w:p w:rsidR="0093687E" w:rsidRPr="00CB29CD" w:rsidRDefault="0093687E" w:rsidP="005E1730">
            <w:pPr>
              <w:pStyle w:val="a3"/>
              <w:spacing w:line="270" w:lineRule="atLeast"/>
              <w:rPr>
                <w:b/>
                <w:i/>
              </w:rPr>
            </w:pPr>
            <w:r w:rsidRPr="00CB29CD">
              <w:rPr>
                <w:rStyle w:val="a4"/>
                <w:b/>
                <w:i w:val="0"/>
              </w:rPr>
              <w:t>Информация о Застройщике</w:t>
            </w:r>
          </w:p>
          <w:tbl>
            <w:tblPr>
              <w:tblW w:w="10198" w:type="dxa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45" w:type="dxa"/>
                <w:right w:w="45" w:type="dxa"/>
              </w:tblCellMar>
              <w:tblLook w:val="0000"/>
            </w:tblPr>
            <w:tblGrid>
              <w:gridCol w:w="3678"/>
              <w:gridCol w:w="6520"/>
            </w:tblGrid>
            <w:tr w:rsidR="00A5135C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5135C" w:rsidRPr="00CB29CD" w:rsidRDefault="00271D78" w:rsidP="005E1730">
                  <w:pPr>
                    <w:pStyle w:val="a3"/>
                    <w:spacing w:line="270" w:lineRule="atLeast"/>
                  </w:pPr>
                  <w:r w:rsidRPr="00CB29CD">
                    <w:rPr>
                      <w:rStyle w:val="a7"/>
                    </w:rPr>
                    <w:t>Фирменное наименование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5135C" w:rsidRPr="00CB29CD" w:rsidRDefault="00A5135C">
                  <w:pPr>
                    <w:jc w:val="both"/>
                  </w:pPr>
                  <w:r w:rsidRPr="00CB29CD">
                    <w:t>Закрытое акционерное общество «Строительное управление № 155» (ЗАО «СУ № 155»)</w:t>
                  </w:r>
                </w:p>
                <w:p w:rsidR="00A5135C" w:rsidRPr="00CB29CD" w:rsidRDefault="00A5135C">
                  <w:pPr>
                    <w:pStyle w:val="a3"/>
                    <w:spacing w:line="270" w:lineRule="atLeast"/>
                  </w:pPr>
                </w:p>
              </w:tc>
            </w:tr>
            <w:tr w:rsidR="00A5135C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5135C" w:rsidRPr="00CB29CD" w:rsidRDefault="00271D78" w:rsidP="005E1730">
                  <w:pPr>
                    <w:pStyle w:val="a3"/>
                    <w:spacing w:line="270" w:lineRule="atLeast"/>
                  </w:pPr>
                  <w:r w:rsidRPr="00CB29CD">
                    <w:rPr>
                      <w:b/>
                      <w:color w:val="000000"/>
                    </w:rPr>
                    <w:t>Место нахождения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  <w:jc w:val="both"/>
                  </w:pPr>
                  <w:r w:rsidRPr="00CB29C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119261, г"/>
                    </w:smartTagPr>
                    <w:r w:rsidRPr="00CB29CD">
                      <w:t>119261, г</w:t>
                    </w:r>
                  </w:smartTag>
                  <w:r w:rsidRPr="00CB29CD">
                    <w:t>. Москва, Ленинский пр-т, 81</w:t>
                  </w:r>
                </w:p>
                <w:p w:rsidR="00A5135C" w:rsidRPr="00CB29CD" w:rsidRDefault="00271D78" w:rsidP="00271D78">
                  <w:pPr>
                    <w:pStyle w:val="a3"/>
                    <w:spacing w:line="270" w:lineRule="atLeast"/>
                  </w:pPr>
                  <w:r w:rsidRPr="00CB29CD"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119017, г"/>
                    </w:smartTagPr>
                    <w:r w:rsidRPr="00CB29CD">
                      <w:t>119017, г</w:t>
                    </w:r>
                  </w:smartTag>
                  <w:r w:rsidRPr="00CB29CD">
                    <w:t>. Москва, М. Ордынка, 15</w:t>
                  </w:r>
                </w:p>
              </w:tc>
            </w:tr>
            <w:tr w:rsidR="00271D78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  <w:jc w:val="both"/>
                  </w:pPr>
                  <w:r w:rsidRPr="00CB29CD">
                    <w:rPr>
                      <w:rStyle w:val="a7"/>
                    </w:rPr>
                    <w:t>Телефон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  <w:jc w:val="both"/>
                  </w:pPr>
                  <w:r w:rsidRPr="00CB29CD">
                    <w:t>+7(499)789-40-30</w:t>
                  </w:r>
                  <w:r w:rsidRPr="00CB29CD">
                    <w:rPr>
                      <w:lang w:val="en-US"/>
                    </w:rPr>
                    <w:t>, +7(495)967-14-92</w:t>
                  </w:r>
                </w:p>
              </w:tc>
            </w:tr>
            <w:tr w:rsidR="00271D78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  <w:jc w:val="both"/>
                  </w:pPr>
                  <w:r w:rsidRPr="00CB29CD">
                    <w:rPr>
                      <w:rStyle w:val="a7"/>
                    </w:rPr>
                    <w:t xml:space="preserve">Режим работы 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  <w:jc w:val="both"/>
                  </w:pPr>
                  <w:r w:rsidRPr="00CB29CD">
                    <w:t>С 9.00 до 18.00 ежедневно кроме выходных: субботы и воскресенья</w:t>
                  </w:r>
                </w:p>
              </w:tc>
            </w:tr>
            <w:tr w:rsidR="00271D78" w:rsidRPr="00CB29CD" w:rsidTr="00271D78">
              <w:trPr>
                <w:tblCellSpacing w:w="0" w:type="dxa"/>
              </w:trPr>
              <w:tc>
                <w:tcPr>
                  <w:tcW w:w="101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>
                  <w:pPr>
                    <w:jc w:val="both"/>
                  </w:pPr>
                  <w:r w:rsidRPr="00CB29CD">
                    <w:rPr>
                      <w:rStyle w:val="a7"/>
                    </w:rPr>
                    <w:t>Данные о государственной регистрации</w:t>
                  </w:r>
                </w:p>
              </w:tc>
            </w:tr>
            <w:tr w:rsidR="00271D78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</w:pPr>
                  <w:r w:rsidRPr="00CB29CD">
                    <w:rPr>
                      <w:rStyle w:val="a7"/>
                    </w:rPr>
                    <w:t>Данные о государственной регистрации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</w:pPr>
                  <w:r w:rsidRPr="00CB29CD">
      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      </w:r>
                </w:p>
                <w:p w:rsidR="00271D78" w:rsidRPr="00CB29CD" w:rsidRDefault="00271D78" w:rsidP="00271D78">
                  <w:pPr>
                    <w:pStyle w:val="a3"/>
                  </w:pPr>
                  <w:r w:rsidRPr="00CB29CD">
      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      </w:r>
                </w:p>
              </w:tc>
            </w:tr>
            <w:tr w:rsidR="00271D78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</w:pPr>
                  <w:r w:rsidRPr="00CB29CD">
                    <w:rPr>
                      <w:rStyle w:val="a7"/>
                    </w:rPr>
                    <w:t xml:space="preserve">Данные о постановке на учет в налоговом органе 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71D78" w:rsidRPr="00CB29CD" w:rsidRDefault="00271D78" w:rsidP="00271D78">
                  <w:pPr>
                    <w:pStyle w:val="a3"/>
                  </w:pPr>
                  <w:r w:rsidRPr="00CB29CD">
      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</w:t>
                  </w:r>
                  <w:r w:rsidR="00692303" w:rsidRPr="00CB29CD">
                    <w:t xml:space="preserve"> 77 № 009027524, ИНН 7736003162.</w:t>
                  </w:r>
                </w:p>
                <w:p w:rsidR="00271D78" w:rsidRPr="00CB29CD" w:rsidRDefault="00271D78" w:rsidP="00271D78">
                  <w:pPr>
                    <w:pStyle w:val="a3"/>
                  </w:pPr>
                  <w:r w:rsidRPr="00CB29CD">
                    <w:t xml:space="preserve">Поставлено на учет в Межрегиональной инспекции ФНС России по крупнейшим налогоплательщикам №3 26.10.2007г. с КПП  997350001 </w:t>
                  </w:r>
                </w:p>
              </w:tc>
            </w:tr>
            <w:tr w:rsidR="00692303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303" w:rsidRPr="00CB29CD" w:rsidRDefault="00692303" w:rsidP="00692303">
                  <w:pPr>
                    <w:pStyle w:val="a3"/>
                  </w:pPr>
                  <w:r w:rsidRPr="00CB29CD">
                    <w:rPr>
                      <w:rStyle w:val="a7"/>
                    </w:rPr>
      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303" w:rsidRPr="00CB29CD" w:rsidRDefault="00692303" w:rsidP="00545EDE">
                  <w:pPr>
                    <w:numPr>
                      <w:ilvl w:val="0"/>
                      <w:numId w:val="2"/>
                    </w:numPr>
                    <w:tabs>
                      <w:tab w:val="clear" w:pos="804"/>
                      <w:tab w:val="num" w:pos="223"/>
                      <w:tab w:val="right" w:pos="9639"/>
                    </w:tabs>
                    <w:ind w:left="223" w:hanging="223"/>
                    <w:jc w:val="both"/>
                  </w:pPr>
                  <w:r w:rsidRPr="00CB29CD">
                    <w:t>ЗАО «Гранд Инвест» - 9,72%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2"/>
                    </w:numPr>
                    <w:tabs>
                      <w:tab w:val="clear" w:pos="804"/>
                      <w:tab w:val="num" w:pos="223"/>
                      <w:tab w:val="right" w:pos="9639"/>
                    </w:tabs>
                    <w:ind w:left="223" w:hanging="223"/>
                    <w:jc w:val="both"/>
                  </w:pPr>
                  <w:r w:rsidRPr="00CB29CD">
                    <w:t>ООО «Ридженси» - 6,87%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2"/>
                    </w:numPr>
                    <w:tabs>
                      <w:tab w:val="clear" w:pos="804"/>
                      <w:tab w:val="num" w:pos="223"/>
                      <w:tab w:val="right" w:pos="9639"/>
                    </w:tabs>
                    <w:ind w:left="223" w:hanging="223"/>
                    <w:jc w:val="both"/>
                  </w:pPr>
                  <w:r w:rsidRPr="00CB29CD">
                    <w:t>ООО «Эвия» - 7,34%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2"/>
                    </w:numPr>
                    <w:tabs>
                      <w:tab w:val="clear" w:pos="804"/>
                      <w:tab w:val="num" w:pos="223"/>
                      <w:tab w:val="right" w:pos="9639"/>
                    </w:tabs>
                    <w:ind w:left="223" w:hanging="223"/>
                    <w:jc w:val="both"/>
                  </w:pPr>
                  <w:r w:rsidRPr="00CB29CD">
                    <w:t>ООО «ШАТОВО» - 17,94%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2"/>
                    </w:numPr>
                    <w:tabs>
                      <w:tab w:val="clear" w:pos="804"/>
                      <w:tab w:val="num" w:pos="223"/>
                      <w:tab w:val="right" w:pos="9639"/>
                    </w:tabs>
                    <w:ind w:left="223" w:hanging="223"/>
                    <w:jc w:val="both"/>
                  </w:pPr>
                  <w:r w:rsidRPr="00CB29CD">
                    <w:t>ОАО «Группа компаний СУ-155» - 52,06%</w:t>
                  </w:r>
                </w:p>
                <w:p w:rsidR="00692303" w:rsidRPr="00CB29CD" w:rsidRDefault="00692303" w:rsidP="00545ED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5,53% акций распределены между юридическими и физическими лицами, владеющими менее 5% акций.</w:t>
                  </w:r>
                </w:p>
              </w:tc>
            </w:tr>
            <w:tr w:rsidR="00692303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303" w:rsidRPr="00CB29CD" w:rsidRDefault="00692303" w:rsidP="00692303">
                  <w:pPr>
                    <w:pStyle w:val="a3"/>
                  </w:pPr>
                  <w:r w:rsidRPr="00CB29CD">
                    <w:rPr>
                      <w:rStyle w:val="a7"/>
                    </w:rPr>
      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      </w:r>
                  <w:r w:rsidRPr="00CB29CD">
                    <w:t xml:space="preserve"> 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Севастопольский пр-т, вл. 26-28, корп. 1. Срок ввода по проекту – 30.06.08г. Фактический срок ввода – 19.11.07г.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4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Севастопольский пр-т, вл. 26-28, корп. 2. Срок ввода по проекту – 30.06.08г. Фактический срок ввода – 16.11.07г.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4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Севастопольский пр-т, вл. 26-28, корп. 3. Срок ввода по проекту – 30.06.08г. Фактический срок ввода – 11.07.08г.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4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 xml:space="preserve"> Жилой дом по адресу: Новые Кузьминки, кв. 114, корп. 20. Срок ввода по проекту – 31.12.07г. Фактический срок ввода – 29.04.08г. 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4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 xml:space="preserve">Жилой дом по адресу: Новые Кузьминки, кв. 117, корп. 4. </w:t>
                  </w:r>
                  <w:r w:rsidRPr="00CB29CD">
                    <w:lastRenderedPageBreak/>
                    <w:t>Срок ввода по проекту – 31.12.08г. Фактический срок ввода  – 29.05.09г.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4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Новые Кузьминки, кв. 117, корп. 4А. Срок ввода по проекту – 31.12.08г. Фактический срок ввода – 26.11.08г.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4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Новые Кузьминки, кв. 117, корп. 6А. Срок ввода по проекту – 24.01.09г. Фактический срок ввода – 31.10.08г.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ул. Академика Пилюгина, вл. 4-6. Срок ввода по проекту – 30.05.09 г. Фактический срок ввода – 27.12.07г.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9. Срок ввода по проекту – 30.01.08г. Фактический срок ввода – 04.09.07г.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13. Срок ввода по проекту – 02.02.09г. Фактический срок ввода – 26.12.08г.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17. Срок ввода по проекту – 01.06.08г. Фактический срок ввода – 11.03.08г.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18. Срок ввода по проекту – 01.06.08г. Фактический срок ввода – 07.02.08г.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19. Срок ввода по проекту – 01.07.08г. Фактический срок ввода – 09.02.08г.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20. Срок ввода по проекту – 01.06.08г. Фактический срок ввода – 11.03.08г.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Кожухово, мкр. 9, корп. 21. Срок ввода по проекту – 01.07.08г. Фактический срок ввода – 29.02.08г.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3. Срок ввода по проекту – 01.06.08г. Фактический срок ввода – 24.03.08г.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3К. Срок ввода по проекту – 17.11.08г. Фактический срок ввода – 01.10.08г.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5. Срок ввода по проекту – 30.12.08г. Фактический срок ввода – 27.10.08г.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6А. Срок ввода по проекту – 31.12.08г. Фактический срок ввода–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22. Срок ввода по проекту – 30.12.08г. Фактический срок ввода– 11.09.08г.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2, корп. 1.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2, корп. 4. Срок ввода по проекту – 30.06.09г.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lastRenderedPageBreak/>
                    <w:t>Жилой дом по адресу: Павшинская пойма, мкр. 3, корп. 4. Срок ввода по проекту – 10.06.08г. Фактический срок ввода – 24.03.08г.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3, корп. 5. Срок ввода по проекту – 30.12.09г.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2. Срок ввода по проекту – 30.06.09г.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6. Срок ввода по проекту – 01.07.09г.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7. Срок ввода по проекту – 01.07.09г.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24А.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24Б.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24В.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25.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26А.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26Б.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27А.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27Б.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4, корп. 28. Срок ввода по проекту – 30.12.08г. Фактический срок ввода – 30.12.08г.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пос. Северный-Виноградово, мкр. 4АБ, к. 218. Срок ввода по проекту – 31.07.08г. Фактический срок ввода - 25.12.07г.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1, корп. 10. Срок ввода по проекту – 31.07.08г. Фактический срок ввода – 02.04.08г.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1, корп. 11. Срок ввода по проекту – 31.07.08г. Фактический срок ввода – 08.04.08г.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 xml:space="preserve">Жилой дом по адресу: Щербинка, мкр. 1, корп. 12. Срок ввода по проекту – 31.08.08г. Фактический срок ввода – </w:t>
                  </w:r>
                  <w:r w:rsidRPr="00CB29CD">
                    <w:lastRenderedPageBreak/>
                    <w:t>04.04.08г.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1, корп. 13. Срок ввода по проекту – 31.08.08г. Фактический срок ввода – 02.04.08г.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1, корп. 14. Срок ввода по проекту – 30.09.08г. Фактический срок ввода – 31.03.08г.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2, корп. 1. Срок ввода по проекту – 30.06.08г. Фактический срок ввода – 04.04.08г.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2, корп. 2. Срок ввода по проекту – 30.06.08г. Фактический срок ввода – 04.04.08г.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2, корп. 3. Срок ввода по проекту – 31.08.08г. Фактический срок ввода – 15.04.08г.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2, корп. 4. Срок ввода по проекту – 31.08.08г. Фактический срок ввода – 30.06.08г.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2, корп. 5А. Срок ввода по проекту – 30.06.08г. Фактический срок ввода – 09.04.08г.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2, корп. 5Б. Срок ввода по проекту –31.08.08г. Фактический срок ввода – 09.04.08г.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1А. Срок ввода по проекту – 30.06.08г. Фактический срок ввода – 23.04.08г.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1Б. Срок ввода по проекту – 01.12.08г. Фактический срок ввода – 23.04.08г.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1В. Срок ввода по проекту – 01.12.08г. Фактический срок ввода – 30.04.08г.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2. Срок ввода по проекту – 01.12.08г. Фактический срок ввода – 23.04.08г.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3А. Срок ввода по проекту – 10.12.08г. Фактический срок ввода – 30.06.08г.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3Б. Срок ввода по проекту – 10.12.08г. Фактический срок ввода – 30.06.08г.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3В. Срок ввода по проекту – 10.12.08г. Фактический срок ввода – 31.03.08г.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4. Срок ввода по проекту – 10.12.08г. Фактический срок ввода – 30.06.08г.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5. Срок ввода по проекту – 10.12.08г. Фактический срок ввода – 30.06.08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 xml:space="preserve">Жилой дом по адресу: Щербинка, мкр. 3, корп. 6. Срок </w:t>
                  </w:r>
                  <w:r w:rsidRPr="00CB29CD">
                    <w:lastRenderedPageBreak/>
                    <w:t>ввода по проекту – 10.12.08г. Фактический срок ввода – 30.06.08г.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7. Срок ввода по проекту – 10.12.08г. Фактический срок ввода – 16.04.08г.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8. Срок ввода по проекту – 10.12.08г. Фактический срок ввода – 18.04.08г.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9. Срок ввода по проекту – 10.12.08г. Фактический срок ввода – 30.04.08г.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10. Срок ввода по проекту – 10.12.08г. Фактический срок ввода – 31.03.08г.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3, корп. 11. Срок ввода по проекту – 01.12.08г. Фактический срок ввода – 30.04.08г.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2. Срок ввода по проекту – 31.03.09г. Фактический срок ввода –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4. Срок ввода по проекту – 31.03.09г. Фактический срок ввода – 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6. Срок ввода по проекту – 31.03.09г. Фактический срок ввода – 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8. Срок ввода по проекту – 31.03.09г. Фактический срок ввода – 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9. Срок ввода по проекту – 31.03.09г. Фактический срок ввода – 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11 Срок ввода по проекту – 31.03.09г. Фактический срок ввода –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12. Срок ввода по проекту – 31.03.09г. Фактический срок ввода – 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Щербинка, мкр. 4, корп. 13. Срок ввода по проекту – 31.03.09г. Фактический срок ввода – 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Пролетарский пр-т, корп. 50. Срок ввода по проекту – 08.08.08г. Фактический срок ввода – 21.12.07г.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Нагатино-Садовники, мкр. 2, корп. 35. Срок ввода по проекту – 30.09.08г. Фактический срок ввода – 28.11.08г.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Ивана Бабушкина, вл. 10. Срок ввода по проекту – 01.06.08 г. Фактический срок ввода –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Серпухов, ул. Оборонная, корп. 1. Срок ввода по проекту – 31.12.08г.  Фактический срок ввода – 16.06.08г.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lastRenderedPageBreak/>
                    <w:t>Жилой дом по адресу: г. Серпухов, ул. Оборонная, корп. 2. Срок ввода по проекту – 30.09.09г.  Фактический срок ввода – 16.06.08г.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Учебный театр по адресу: ул. Ак. Пилюгина, вл. 4-6. Срок ввода по проекту – 30.06.09г. Фактический срок ввода – 11.06.09г.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Балашиха, мкр. 22, корп. 21. Срок ввода по проекту – 31.12.10г.  Фактический срок ввода – 13.08.09г.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Балашиха, мкр. 22, корп. 22. Срок ввода по проекту – 31.12.10г.  Фактический срок ввода – 13.08.09г.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Высоковольтный пр-д, вл. 1, корп. 4А. Срок ввода по проекту – 30.06.10г. Фактический срок ввода – 30.07.10г.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Высоковольтный пр-д, вл. 1, корп. 4Б. Срок ввода по проекту – 30.06.10г. Фактический срок ввода – 30.07.10г.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Долгопрудный, мкр. «Центральный», корп. 29. Срок ввода по проекту – 31.12.09г. Фактический срок ввода – 31.08.09г.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Долгопрудный, мкр. «Центральный», корп. 36. Срок ввода по проекту – 31.12.09г. Фактический срок ввода – 31.07.09г.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Долгопрудный, мкр. «Центральный», корп. 36А. Срок ввода по проекту – 31.12.09г. Фактический срок ввода – 11.11.09г.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  <w:tab w:val="left" w:pos="3943"/>
                    </w:tabs>
                    <w:ind w:left="223" w:hanging="223"/>
                    <w:jc w:val="both"/>
                  </w:pPr>
                  <w:r w:rsidRPr="00CB29CD">
                    <w:t>Жилой дом по адресу: Долгопрудный, мкр. «Центральный», корп. 37. Срок ввода по проекту – 31.12.09г. Фактический срок ввода– 24.04.09г.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Школа по адресу: Кожухово, мкр. 9, корп. 101/1. Срок ввода по проекту – 07.03.09г. Фактический срок ввода – 28.11.08г.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Блок начальных классов по адресу: Кожухово, мкр. 9, корп. 101/2. Срок ввода по проекту – 31.03.09г. Фактический срок ввода – 31.12.08г.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Нежилое здание по адресу: Кожухово, мкр. 9, корп. 206/304. Срок ввода по проекту – 21.11.10г. Фактический срок ввода – 24.06.10г.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Люберцы, мкр. 7-8, кв. 7, корп. 53Б Срок ввода по проекту – 15.12.10г. Фактический срок ввода – 16.07.09г.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Люберцы, мкр. 7-8, кв. 7, корп. 33 Срок ввода по проекту – 28.12.09г. Фактический срок ввода – 31.03.09г.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Люберцы, мкр. 7-8, кв. 7, корп. 35 Срок ввода по проекту – 28.12.09г. Фактический срок ввода – 31.03.09г.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 xml:space="preserve">Жилой дом по адресу: г. Люберцы, мкр. 7-8, кв. 7А, корп. </w:t>
                  </w:r>
                  <w:r w:rsidRPr="00CB29CD">
                    <w:lastRenderedPageBreak/>
                    <w:t>42 Срок ввода по проекту – 28.12.09г. Фактический срок ввода – 31.03.09г.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Люберцы, мкр. 7-8, кв. 8, корп. 8 Срок ввода по проекту – 15.12.10г. Фактический срок ввода – 16.07.09г.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Нагатинский затон, мкр. 4, корп. 1А. Срок ввода по проекту – 17.09.09г. Фактический срок ввода – 31.03.09г.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Новые Кузьминки, кв. 117, корп. 32Б. Срок ввода по проекту – 15.02.10г. Фактический срок ввода – 13.08.10г.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Обручевский р-н, кв. 37, корп. 1. Срок ввода по проекту – 31.01.10г. Фактический срок ввода – 30.09.09г.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Обручевский р-н, кв. 37, корп. 7. Срок ввода по проекту – 30.09.10 г. Фактический срок ввода – 28.06.10г.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Обручевский р-н, кв. 37, корп. 8. Срок ввода по проекту – 15.10.10 г. Фактический срок ввода – 28.06.10г.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18. Срок ввода по проекту – 30.06.09г. Фактический срок ввода – 19.08.09г.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1, корп. 6Б. Срок ввода по проекту –30.12.10г. Фактический срок ввода – 02.06.10г.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Павшинская пойма, мкр. 3, корп. 43А. Срок ввода по проекту – 30.12.09г. Фактический срок ввода – 19.08.09г.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ФОК по адресу: Севастопольский пр-т, вл. 26-28, корп. 5. Срок ввода по проекту – 10.10.08г. Фактический срок ввода – 31.12.08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Солнечногорский район, пос. Ржавки, корп. 4. Срок ввода по проекту – 04.08.10г. Фактический срок ввода – 18.12.09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Солнечногорский район, пос. Ржавки, корп. 5. Срок ввода по проекту – 04.08.10г. Фактический срок ввода – 18.12.09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Фили-Давыдково, кв. 69, корп. 10. Срок ввода по проекту – 05.10.2010 г. Фактический срок ввода – 06.08.10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Фили-Давыдково, кв. 70, корп. 22. Срок ввода по проекту – 27.04.10г.  Фактический срок ввода – 31.03.10г.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 xml:space="preserve">Жилой дом по адресу: Химки, мкр. Подрезково, корп. 1 . </w:t>
                  </w:r>
                  <w:r w:rsidRPr="00CB29CD">
                    <w:lastRenderedPageBreak/>
                    <w:t>Срок ввода по проекту – 15.07.10г.  Фактический срок ввода – 05.03.10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Химки, мкр. Подрезково, корп. 2 . Срок ввода по проекту – 15.07.10 г. Фактический срок ввода – 30.11.09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Жилой дом по адресу: Химки, мкр. Подрезково, корп. 3 . Срок ввода по проекту – 15.07.10 г. Фактический срок ввода – 02.04.10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clear" w:pos="683"/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Школа по адресу: Щербинка, мкр. 4, корп. 15. Срок ввода по проекту – 31.05.09г. Фактический срок ввода – 31.07.09 г.</w:t>
                  </w:r>
                </w:p>
                <w:p w:rsidR="00692303" w:rsidRPr="00CB29CD" w:rsidRDefault="00692303" w:rsidP="00545EDE">
                  <w:pPr>
                    <w:numPr>
                      <w:ilvl w:val="0"/>
                      <w:numId w:val="3"/>
                    </w:numPr>
                    <w:tabs>
                      <w:tab w:val="num" w:pos="223"/>
                    </w:tabs>
                    <w:ind w:left="223" w:hanging="223"/>
                    <w:jc w:val="both"/>
                  </w:pPr>
                  <w:r w:rsidRPr="00CB29CD">
                    <w:t>Детский сад по адресу: Щербинка, мкр. 4, корп. 16. Срок ввода по проекту – 31.08.09 г. Фактический срок ввода – 26.08.09 г.</w:t>
                  </w:r>
                </w:p>
              </w:tc>
            </w:tr>
            <w:tr w:rsidR="00692303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303" w:rsidRPr="00CB29CD" w:rsidRDefault="00692303" w:rsidP="00692303">
                  <w:pPr>
                    <w:pStyle w:val="a3"/>
                  </w:pPr>
                  <w:r w:rsidRPr="00CB29CD">
                    <w:rPr>
                      <w:b/>
                      <w:color w:val="000000"/>
                    </w:rPr>
                    <w:lastRenderedPageBreak/>
                    <w:t>Вид лицензируемой деятельности; Номер лицензии; Срок действия лицензии; Орган, выдавший лицензию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303" w:rsidRPr="00CB29CD" w:rsidRDefault="00692303" w:rsidP="00F109AB">
                  <w:pPr>
                    <w:pStyle w:val="a3"/>
                    <w:jc w:val="both"/>
                  </w:pPr>
                  <w:r w:rsidRPr="00CB29CD">
      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строительства, от 21 декабря 2010г. № 0007-2010-06-7736003162-С-104, выдано саморегулируемой организацией - Некоммерческое партнерство «Московский строительный союз» (на выполнение строительных работ);</w:t>
                  </w:r>
                </w:p>
                <w:p w:rsidR="00692303" w:rsidRPr="00CB29CD" w:rsidRDefault="00692303" w:rsidP="00F109AB">
                  <w:pPr>
                    <w:pStyle w:val="a3"/>
                    <w:jc w:val="both"/>
                  </w:pPr>
                  <w:r w:rsidRPr="00CB29CD">
      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СРО-И-</w:t>
                  </w:r>
                  <w:r w:rsidR="00822756" w:rsidRPr="00CB29CD">
                    <w:t>016-28122009-00048</w:t>
                  </w:r>
                  <w:r w:rsidRPr="00CB29CD">
                    <w:t xml:space="preserve"> от </w:t>
                  </w:r>
                  <w:r w:rsidR="00822756" w:rsidRPr="00CB29CD">
                    <w:t>24.</w:t>
                  </w:r>
                  <w:r w:rsidRPr="00CB29CD">
                    <w:t>12.2010</w:t>
                  </w:r>
                  <w:r w:rsidR="00822756" w:rsidRPr="00CB29CD">
                    <w:t xml:space="preserve"> </w:t>
                  </w:r>
                  <w:r w:rsidRPr="00CB29CD">
                    <w:t xml:space="preserve">г., выдано </w:t>
                  </w:r>
                  <w:r w:rsidR="00822756" w:rsidRPr="00CB29CD">
                    <w:t xml:space="preserve">члену </w:t>
                  </w:r>
                  <w:r w:rsidRPr="00CB29CD">
                    <w:t>саморегулируемой организаци</w:t>
                  </w:r>
                  <w:r w:rsidR="00822756" w:rsidRPr="00CB29CD">
                    <w:t>и</w:t>
                  </w:r>
                  <w:r w:rsidRPr="00CB29CD">
                    <w:t xml:space="preserve"> </w:t>
                  </w:r>
                  <w:r w:rsidR="00C2629F" w:rsidRPr="00CB29CD">
                    <w:t>–</w:t>
                  </w:r>
                  <w:r w:rsidRPr="00CB29CD">
                    <w:t xml:space="preserve"> </w:t>
                  </w:r>
                  <w:r w:rsidR="00C2629F" w:rsidRPr="00CB29CD">
                    <w:t xml:space="preserve">Обществу с ограниченной ответственностью «Проектный институт «ДСК-Проект» (на выполнение работ по изысканию); </w:t>
                  </w:r>
                  <w:r w:rsidRPr="00CB29CD">
                    <w:t xml:space="preserve"> </w:t>
                  </w:r>
                </w:p>
                <w:p w:rsidR="00692303" w:rsidRPr="00CB29CD" w:rsidRDefault="00692303" w:rsidP="00F109AB">
                  <w:pPr>
                    <w:pStyle w:val="a3"/>
                    <w:jc w:val="both"/>
                  </w:pPr>
                  <w:r w:rsidRPr="00CB29CD">
      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0059 от 23.12.2009 г., выдано </w:t>
                  </w:r>
                  <w:r w:rsidR="00822756" w:rsidRPr="00CB29CD">
                    <w:t>Общ</w:t>
                  </w:r>
                  <w:r w:rsidR="00822756" w:rsidRPr="00CB29CD">
                    <w:t>е</w:t>
                  </w:r>
                  <w:r w:rsidR="00822756" w:rsidRPr="00CB29CD">
                    <w:t>ству с ограниченной ответственностью «</w:t>
                  </w:r>
                  <w:r w:rsidR="00C2629F" w:rsidRPr="00CB29CD">
                    <w:t>ОТДЕЛ КАПИТАЛЬНОГО СТРОИТЕЛЬСТВА</w:t>
                  </w:r>
                  <w:r w:rsidR="00822756" w:rsidRPr="00CB29CD">
                    <w:t xml:space="preserve"> </w:t>
                  </w:r>
                  <w:r w:rsidR="00C2629F" w:rsidRPr="00CB29CD">
                    <w:t>СТРОИТЕЛЬНОГО УПРАВЛЕНИЯ</w:t>
                  </w:r>
                  <w:r w:rsidR="00822756" w:rsidRPr="00CB29CD">
                    <w:t xml:space="preserve"> № 155» </w:t>
                  </w:r>
                  <w:r w:rsidRPr="00CB29CD">
                    <w:t>(на выполнение проектных работ).</w:t>
                  </w:r>
                </w:p>
              </w:tc>
            </w:tr>
            <w:tr w:rsidR="00C2629F" w:rsidRPr="00CB29CD" w:rsidTr="00C2629F">
              <w:trPr>
                <w:tblCellSpacing w:w="0" w:type="dxa"/>
              </w:trPr>
              <w:tc>
                <w:tcPr>
                  <w:tcW w:w="101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5E1730">
                  <w:pPr>
                    <w:jc w:val="both"/>
                  </w:pPr>
                  <w:r w:rsidRPr="00CB29CD">
                    <w:rPr>
                      <w:rStyle w:val="a7"/>
                    </w:rPr>
                    <w:t>Данные о финансово-экономическом состоянии Застройщика:</w:t>
                  </w:r>
                </w:p>
              </w:tc>
            </w:tr>
            <w:tr w:rsidR="00C2629F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C2629F">
                  <w:pPr>
                    <w:pStyle w:val="a3"/>
                  </w:pPr>
                  <w:r w:rsidRPr="00CB29CD">
                    <w:rPr>
                      <w:rStyle w:val="a7"/>
                    </w:rPr>
                    <w:t>Финансовый результат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C2629F">
                  <w:pPr>
                    <w:pStyle w:val="a3"/>
                    <w:jc w:val="both"/>
                  </w:pPr>
                </w:p>
              </w:tc>
            </w:tr>
            <w:tr w:rsidR="00C2629F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C2629F">
                  <w:pPr>
                    <w:pStyle w:val="a3"/>
                  </w:pPr>
                  <w:r w:rsidRPr="00CB29CD">
                    <w:rPr>
                      <w:rStyle w:val="a7"/>
                    </w:rPr>
                    <w:t>Размер кредиторской задолженности: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C2629F">
                  <w:pPr>
                    <w:pStyle w:val="a3"/>
                    <w:jc w:val="both"/>
                  </w:pPr>
                </w:p>
              </w:tc>
            </w:tr>
            <w:tr w:rsidR="00C2629F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C2629F">
                  <w:pPr>
                    <w:pStyle w:val="a3"/>
                    <w:rPr>
                      <w:rStyle w:val="a7"/>
                    </w:rPr>
                  </w:pPr>
                  <w:r w:rsidRPr="00CB29CD">
                    <w:rPr>
                      <w:rStyle w:val="a7"/>
                    </w:rPr>
                    <w:t>Размер дебиторской задолженности: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629F" w:rsidRPr="00CB29CD" w:rsidRDefault="00C2629F" w:rsidP="00C2629F">
                  <w:pPr>
                    <w:pStyle w:val="a3"/>
                    <w:jc w:val="both"/>
                  </w:pPr>
                </w:p>
              </w:tc>
            </w:tr>
          </w:tbl>
          <w:p w:rsidR="0093687E" w:rsidRPr="00CB29CD" w:rsidRDefault="0093687E" w:rsidP="0093687E">
            <w:pPr>
              <w:jc w:val="both"/>
            </w:pPr>
            <w:r w:rsidRPr="00CB29CD">
              <w:t> </w:t>
            </w:r>
          </w:p>
          <w:p w:rsidR="0093687E" w:rsidRPr="00CB29CD" w:rsidRDefault="0093687E" w:rsidP="0093687E">
            <w:pPr>
              <w:jc w:val="both"/>
            </w:pPr>
            <w:r w:rsidRPr="00CB29CD">
              <w:t> </w:t>
            </w:r>
          </w:p>
          <w:p w:rsidR="0093687E" w:rsidRPr="00CB29CD" w:rsidRDefault="0093687E" w:rsidP="0093687E">
            <w:pPr>
              <w:jc w:val="both"/>
              <w:rPr>
                <w:b/>
              </w:rPr>
            </w:pPr>
            <w:r w:rsidRPr="00CB29CD">
              <w:rPr>
                <w:b/>
                <w:iCs/>
              </w:rPr>
              <w:t xml:space="preserve">Информация о проекте строительства </w:t>
            </w:r>
          </w:p>
          <w:tbl>
            <w:tblPr>
              <w:tblW w:w="10198" w:type="dxa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45" w:type="dxa"/>
                <w:right w:w="45" w:type="dxa"/>
              </w:tblCellMar>
              <w:tblLook w:val="0000"/>
            </w:tblPr>
            <w:tblGrid>
              <w:gridCol w:w="3678"/>
              <w:gridCol w:w="6520"/>
            </w:tblGrid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D7547A">
                  <w:pPr>
                    <w:jc w:val="both"/>
                  </w:pPr>
                  <w:r w:rsidRPr="00CB29CD">
                    <w:rPr>
                      <w:rStyle w:val="a7"/>
                    </w:rPr>
                    <w:t>Цель строительства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8A00D5">
                  <w:pPr>
                    <w:jc w:val="both"/>
                  </w:pPr>
                  <w:r w:rsidRPr="00CB29CD">
                    <w:t xml:space="preserve">Целью проекта является строительство объекта: «17-этажный жилой дом с 1-ым нежилым этажом, расположенный по адресу: г. Тула, Пролетарский район, </w:t>
                  </w:r>
                  <w:r w:rsidRPr="00CB29CD">
                    <w:rPr>
                      <w:lang w:val="en-US"/>
                    </w:rPr>
                    <w:t>IV</w:t>
                  </w:r>
                  <w:r w:rsidRPr="00CB29CD">
                    <w:t xml:space="preserve"> Северо-Восточный микрорайон, корпус 6/1».</w:t>
                  </w: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8A00D5">
                  <w:pPr>
                    <w:pStyle w:val="a3"/>
                    <w:jc w:val="both"/>
                  </w:pPr>
                  <w:r w:rsidRPr="00CB29CD">
                    <w:rPr>
                      <w:rStyle w:val="a7"/>
                    </w:rPr>
                    <w:t>Этапы и срок реализации строительства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8A00D5">
                  <w:pPr>
                    <w:pStyle w:val="a3"/>
                    <w:jc w:val="both"/>
                  </w:pPr>
                  <w:r w:rsidRPr="00CB29CD">
                    <w:t>Начало строительства – апрель 2013 г.</w:t>
                  </w:r>
                </w:p>
                <w:p w:rsidR="008A00D5" w:rsidRPr="00CB29CD" w:rsidRDefault="008A00D5" w:rsidP="006B7A18">
                  <w:pPr>
                    <w:pStyle w:val="a3"/>
                    <w:jc w:val="both"/>
                  </w:pPr>
                  <w:r w:rsidRPr="00CB29CD">
                    <w:t xml:space="preserve">Срок окончания строительства – </w:t>
                  </w:r>
                  <w:r w:rsidR="006B7A18">
                    <w:t>дека</w:t>
                  </w:r>
                  <w:r w:rsidRPr="00CB29CD">
                    <w:t>брь 201</w:t>
                  </w:r>
                  <w:r w:rsidR="006B7A18">
                    <w:t>4</w:t>
                  </w:r>
                  <w:r w:rsidRPr="00CB29CD">
                    <w:t xml:space="preserve"> г.</w:t>
                  </w: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D7547A">
                  <w:pPr>
                    <w:jc w:val="both"/>
                  </w:pP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93687E">
                  <w:pPr>
                    <w:jc w:val="both"/>
                  </w:pP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D7547A">
                  <w:pPr>
                    <w:jc w:val="both"/>
                  </w:pPr>
                  <w:r w:rsidRPr="00CB29CD">
                    <w:rPr>
                      <w:rStyle w:val="a7"/>
                    </w:rPr>
                    <w:t>Заключение экспертизы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93687E">
                  <w:pPr>
                    <w:jc w:val="both"/>
                  </w:pPr>
                  <w:r w:rsidRPr="00CB29CD">
                    <w:t>Результаты проведения государственной эксперт</w:t>
                  </w:r>
                  <w:r w:rsidRPr="00CB29CD">
                    <w:t>и</w:t>
                  </w:r>
                  <w:r w:rsidRPr="00CB29CD">
                    <w:t>зы  проектной документации и результатов инж</w:t>
                  </w:r>
                  <w:r w:rsidRPr="00CB29CD">
                    <w:t>е</w:t>
                  </w:r>
                  <w:r w:rsidRPr="00CB29CD">
                    <w:t xml:space="preserve">нерно-геологических изысканий: положительное заключение по </w:t>
                  </w:r>
                  <w:r w:rsidRPr="00CB29CD">
                    <w:lastRenderedPageBreak/>
                    <w:t>результатам негосударственной эк</w:t>
                  </w:r>
                  <w:r w:rsidRPr="00CB29CD">
                    <w:t>с</w:t>
                  </w:r>
                  <w:r w:rsidRPr="00CB29CD">
                    <w:t>пертизы (дело № 173-МЭ/12 от 20.12.2012 г.).</w:t>
                  </w: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D7547A">
                  <w:pPr>
                    <w:jc w:val="both"/>
                  </w:pPr>
                  <w:r w:rsidRPr="00CB29CD">
                    <w:rPr>
                      <w:rStyle w:val="a7"/>
                    </w:rPr>
                    <w:lastRenderedPageBreak/>
                    <w:t>Разрешение на строительство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93687E">
                  <w:pPr>
                    <w:jc w:val="both"/>
                  </w:pPr>
                  <w:r w:rsidRPr="00CB29CD">
                    <w:t>Разрешение на строительство № RU71326000-045/13 от 22.03.2013 г.</w:t>
                  </w: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D7547A">
                  <w:pPr>
                    <w:jc w:val="both"/>
                  </w:pPr>
                  <w:r w:rsidRPr="00CB29CD">
                    <w:rPr>
                      <w:rStyle w:val="a7"/>
                    </w:rPr>
                    <w:t>Права застройщика на земельный участок: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8A00D5">
                  <w:pPr>
                    <w:jc w:val="both"/>
                  </w:pPr>
                  <w:r w:rsidRPr="00CB29CD">
                    <w:t>Арендатор  -  ЗАО «СУ №155», на основании Соглашения от 06.11.2012 г. о передаче прав и обязанностей по Договору аренды земельного участка №12П2806 от 22.06.2012 г.</w:t>
                  </w: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8A00D5">
                  <w:pPr>
                    <w:pStyle w:val="a3"/>
                    <w:rPr>
                      <w:rStyle w:val="a7"/>
                    </w:rPr>
                  </w:pPr>
                  <w:r w:rsidRPr="00CB29CD">
                    <w:rPr>
                      <w:rStyle w:val="a7"/>
                    </w:rPr>
                    <w:t>Собственник земельного участка (если застройщик не является собственником)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00D5" w:rsidRPr="00CB29CD" w:rsidRDefault="008A00D5" w:rsidP="008A00D5">
                  <w:pPr>
                    <w:jc w:val="both"/>
                  </w:pPr>
                  <w:r w:rsidRPr="00CB29CD">
                    <w:t>Арендодатель  –  Министерство имущественных и земельных отношений Тульской обла</w:t>
                  </w:r>
                  <w:r w:rsidRPr="00CB29CD">
                    <w:t>с</w:t>
                  </w:r>
                  <w:r w:rsidRPr="00CB29CD">
                    <w:t>ти.</w:t>
                  </w:r>
                </w:p>
                <w:p w:rsidR="008A00D5" w:rsidRPr="00CB29CD" w:rsidRDefault="008A00D5" w:rsidP="0093687E">
                  <w:pPr>
                    <w:jc w:val="both"/>
                  </w:pPr>
                </w:p>
              </w:tc>
            </w:tr>
            <w:tr w:rsidR="008A00D5" w:rsidRPr="00CB29CD" w:rsidTr="00545EDE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8A00D5" w:rsidRPr="00CB29CD" w:rsidRDefault="008A00D5" w:rsidP="00D7547A">
                  <w:pPr>
                    <w:jc w:val="both"/>
                  </w:pPr>
                  <w:r w:rsidRPr="00CB29CD">
                    <w:rPr>
                      <w:rStyle w:val="a7"/>
                    </w:rPr>
                    <w:t>Граница и площадь земельного участка, предусмотренные проектной документацией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jc w:val="both"/>
                  </w:pPr>
                  <w:r w:rsidRPr="00CB29CD">
                    <w:t>Площадь земельного участка – 6 193,0   кв. м. с К№ 71:30:030805:33.</w:t>
                  </w:r>
                </w:p>
                <w:p w:rsidR="008A00D5" w:rsidRPr="00CB29CD" w:rsidRDefault="008A00D5" w:rsidP="00AB5DDA">
                  <w:pPr>
                    <w:jc w:val="both"/>
                  </w:pPr>
                </w:p>
              </w:tc>
            </w:tr>
            <w:tr w:rsidR="00AB5DDA" w:rsidRPr="00CB29CD" w:rsidTr="00AB5DDA">
              <w:trPr>
                <w:tblCellSpacing w:w="0" w:type="dxa"/>
              </w:trPr>
              <w:tc>
                <w:tcPr>
                  <w:tcW w:w="10198" w:type="dxa"/>
                  <w:gridSpan w:val="2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EE3874">
                  <w:pPr>
                    <w:jc w:val="both"/>
                  </w:pPr>
                </w:p>
                <w:p w:rsidR="00AB5DDA" w:rsidRPr="00CB29CD" w:rsidRDefault="00AB5DDA" w:rsidP="00AB5DDA">
                  <w:pPr>
                    <w:pStyle w:val="a3"/>
                    <w:jc w:val="both"/>
                  </w:pPr>
                  <w:r w:rsidRPr="00CB29CD">
                    <w:rPr>
                      <w:rStyle w:val="a7"/>
                    </w:rPr>
                    <w:t>Описание строящегося объекта: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 xml:space="preserve">Местоположение строящегося жилого дома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011012">
                  <w:pPr>
                    <w:pStyle w:val="a3"/>
                    <w:jc w:val="both"/>
                  </w:pPr>
                  <w:r w:rsidRPr="00CB29CD">
                    <w:t>Земельный участок площадью 6 193,0 кв. м., отведенный под строител</w:t>
                  </w:r>
                  <w:r w:rsidRPr="00CB29CD">
                    <w:t>ь</w:t>
                  </w:r>
                  <w:r w:rsidRPr="00CB29CD">
                    <w:t>ство многоэтажного дома и благоустройство территории, расположен в Пролетарском районе г. жилой застройки IV Северо-Восточного микрорайона г. Т</w:t>
                  </w:r>
                  <w:r w:rsidRPr="00CB29CD">
                    <w:t>у</w:t>
                  </w:r>
                  <w:r w:rsidRPr="00CB29CD">
                    <w:t>лы. Строительный участок № 6/1 ориентирово</w:t>
                  </w:r>
                  <w:r w:rsidRPr="00CB29CD">
                    <w:t>ч</w:t>
                  </w:r>
                  <w:r w:rsidRPr="00CB29CD">
                    <w:t xml:space="preserve">но расположен примерно в </w:t>
                  </w:r>
                  <w:r w:rsidR="00011012">
                    <w:t>2</w:t>
                  </w:r>
                  <w:r w:rsidRPr="00CB29CD">
                    <w:t>00 м по направлению на северо-запад  от п</w:t>
                  </w:r>
                  <w:r w:rsidRPr="00CB29CD">
                    <w:t>о</w:t>
                  </w:r>
                  <w:r w:rsidRPr="00CB29CD">
                    <w:t>строенного жилого дома по ул. Хворостухина. дом № 15).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>Благоустройство территории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jc w:val="both"/>
                  </w:pPr>
                  <w:r w:rsidRPr="00CB29CD">
                    <w:t>При благоустройстве территории предусматрив</w:t>
                  </w:r>
                  <w:r w:rsidRPr="00CB29CD">
                    <w:t>а</w:t>
                  </w:r>
                  <w:r w:rsidRPr="00CB29CD">
                    <w:t>ется  устройство площадей озеленения,  пл</w:t>
                  </w:r>
                  <w:r w:rsidRPr="00CB29CD">
                    <w:t>о</w:t>
                  </w:r>
                  <w:r w:rsidRPr="00CB29CD">
                    <w:t>щадок для хозяйственных целей, площадок для отдыха взрослого населения, площадок для занятий физкульт</w:t>
                  </w:r>
                  <w:r w:rsidRPr="00CB29CD">
                    <w:t>у</w:t>
                  </w:r>
                  <w:r w:rsidRPr="00CB29CD">
                    <w:t>рой, площадок для стоянок автомашин. Проезды выполняются с асфальтобетонным п</w:t>
                  </w:r>
                  <w:r w:rsidRPr="00CB29CD">
                    <w:t>о</w:t>
                  </w:r>
                  <w:r w:rsidRPr="00CB29CD">
                    <w:t>крытием  и с дорожным бортовым камнем. Тротуары устраиваются из асфальтобетонного п</w:t>
                  </w:r>
                  <w:r w:rsidRPr="00CB29CD">
                    <w:t>о</w:t>
                  </w:r>
                  <w:r w:rsidRPr="00CB29CD">
                    <w:t>крытия.</w:t>
                  </w:r>
                </w:p>
                <w:p w:rsidR="00AB5DDA" w:rsidRPr="00CB29CD" w:rsidRDefault="00AB5DDA" w:rsidP="00AB5DDA">
                  <w:pPr>
                    <w:jc w:val="both"/>
                  </w:pPr>
                  <w:r w:rsidRPr="00CB29CD">
                    <w:t>Проект благоустройства включает в себя расстано</w:t>
                  </w:r>
                  <w:r w:rsidRPr="00CB29CD">
                    <w:t>в</w:t>
                  </w:r>
                  <w:r w:rsidRPr="00CB29CD">
                    <w:t>ку скамеек, урн, малых форм архитектуры различн</w:t>
                  </w:r>
                  <w:r w:rsidRPr="00CB29CD">
                    <w:t>о</w:t>
                  </w:r>
                  <w:r w:rsidRPr="00CB29CD">
                    <w:t xml:space="preserve">го назначения.   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>Описание объекта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jc w:val="both"/>
                  </w:pPr>
                  <w:r w:rsidRPr="00CB29CD">
                    <w:t xml:space="preserve">3-секционный </w:t>
                  </w:r>
                  <w:r w:rsidR="006B7A18">
                    <w:t>18-этажный жилой дом из изделий серии ИП46С</w:t>
                  </w:r>
                  <w:r w:rsidRPr="00CB29CD">
                    <w:t>. Каждая секция включает в себя:</w:t>
                  </w:r>
                </w:p>
                <w:p w:rsidR="00AB5DDA" w:rsidRPr="00CB29CD" w:rsidRDefault="00AB5DDA" w:rsidP="00AB5DDA">
                  <w:pPr>
                    <w:jc w:val="both"/>
                  </w:pPr>
                  <w:r w:rsidRPr="00CB29CD">
                    <w:t>-техническое подполье</w:t>
                  </w:r>
                </w:p>
                <w:p w:rsidR="00AB5DDA" w:rsidRPr="00CB29CD" w:rsidRDefault="00AB5DDA" w:rsidP="00AB5DDA">
                  <w:pPr>
                    <w:jc w:val="both"/>
                  </w:pPr>
                  <w:r w:rsidRPr="00CB29CD">
                    <w:t>-первый этаж – нежилые помещения</w:t>
                  </w:r>
                </w:p>
                <w:p w:rsidR="00AB5DDA" w:rsidRPr="00CB29CD" w:rsidRDefault="00AB5DDA" w:rsidP="00AB5DDA">
                  <w:pPr>
                    <w:jc w:val="both"/>
                  </w:pPr>
                  <w:r w:rsidRPr="00CB29CD">
                    <w:t>-жилые этажи со 2 по 17</w:t>
                  </w:r>
                </w:p>
                <w:p w:rsidR="00AB5DDA" w:rsidRPr="00CB29CD" w:rsidRDefault="00AB5DDA" w:rsidP="00AB5DDA">
                  <w:pPr>
                    <w:jc w:val="both"/>
                  </w:pPr>
                  <w:r w:rsidRPr="00CB29CD">
                    <w:t xml:space="preserve">-верхний </w:t>
                  </w:r>
                  <w:r w:rsidR="006B7A18">
                    <w:t xml:space="preserve">18-й </w:t>
                  </w:r>
                  <w:r w:rsidRPr="00CB29CD">
                    <w:t>технический этаж (чердак)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> Показатели объекта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Количество квартир:  192,    в том числе:  1-комнатные  -  96 квартир,</w:t>
                  </w:r>
                  <w:r w:rsidRPr="00CB29CD">
                    <w:tab/>
                    <w:t>2-комнатные  -  96 квартир.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Количество нежилых помещений – 3</w:t>
                  </w:r>
                  <w:r w:rsidRPr="00CB29CD">
                    <w:rPr>
                      <w:color w:val="FF0000"/>
                    </w:rPr>
                    <w:t xml:space="preserve"> </w:t>
                  </w:r>
                  <w:r w:rsidRPr="00CB29CD">
                    <w:t>офисных п</w:t>
                  </w:r>
                  <w:r w:rsidRPr="00CB29CD">
                    <w:t>о</w:t>
                  </w:r>
                  <w:r w:rsidRPr="00CB29CD">
                    <w:t>мещения.</w:t>
                  </w:r>
                </w:p>
                <w:p w:rsidR="00302171" w:rsidRPr="00CB29CD" w:rsidRDefault="00302171" w:rsidP="00CB29CD">
                  <w:pPr>
                    <w:jc w:val="both"/>
                  </w:pPr>
                  <w:r w:rsidRPr="00CB29CD">
                    <w:t>Площадь застройки  корпуса № 6/1   -  1 045,0  кв.м.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Земельный участок  площадью – 6 193,0   кв. м.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Этажность (без учёта технического эт</w:t>
                  </w:r>
                  <w:r w:rsidRPr="00CB29CD">
                    <w:t>а</w:t>
                  </w:r>
                  <w:r w:rsidRPr="00CB29CD">
                    <w:t>жа) – 1</w:t>
                  </w:r>
                  <w:r w:rsidR="006B7A18">
                    <w:t>7</w:t>
                  </w:r>
                  <w:r w:rsidRPr="00CB29CD">
                    <w:t>,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Количество блок - секций  - 3.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Общая площадь объекта капитального строительс</w:t>
                  </w:r>
                  <w:r w:rsidRPr="00CB29CD">
                    <w:t>т</w:t>
                  </w:r>
                  <w:r w:rsidRPr="00CB29CD">
                    <w:t>ва   -   17 289,00  кв.м.,  в  том чи</w:t>
                  </w:r>
                  <w:r w:rsidRPr="00CB29CD">
                    <w:t>с</w:t>
                  </w:r>
                  <w:r w:rsidRPr="00CB29CD">
                    <w:t xml:space="preserve">ле:   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общая площадь квартир   -  10 089,6  м²,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>площадь нежилых помещений   -   540,13  м².</w:t>
                  </w:r>
                </w:p>
                <w:p w:rsidR="00CB29CD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 xml:space="preserve">общий строит. объём объекта  -   </w:t>
                  </w:r>
                  <w:smartTag w:uri="urn:schemas-microsoft-com:office:smarttags" w:element="metricconverter">
                    <w:smartTagPr>
                      <w:attr w:name="ProductID" w:val="50 755,0 м³"/>
                    </w:smartTagPr>
                    <w:r w:rsidRPr="00CB29CD">
                      <w:t>50 755,0 м³</w:t>
                    </w:r>
                  </w:smartTag>
                  <w:r w:rsidRPr="00CB29CD">
                    <w:t xml:space="preserve">, </w:t>
                  </w:r>
                </w:p>
                <w:p w:rsidR="00302171" w:rsidRPr="00CB29CD" w:rsidRDefault="00CB29CD" w:rsidP="00CB29CD">
                  <w:pPr>
                    <w:pStyle w:val="a6"/>
                    <w:ind w:left="0"/>
                    <w:jc w:val="both"/>
                  </w:pPr>
                  <w:r w:rsidRPr="00CB29CD">
                    <w:t>в</w:t>
                  </w:r>
                  <w:r w:rsidR="00302171" w:rsidRPr="00CB29CD">
                    <w:t xml:space="preserve"> том числе:  ниже  0,000   - 2 300,0  м³, </w:t>
                  </w:r>
                </w:p>
                <w:p w:rsidR="00302171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t xml:space="preserve">выше 0,000   -   48 455,0  м³. </w:t>
                  </w:r>
                </w:p>
                <w:p w:rsidR="00AB5DDA" w:rsidRPr="00CB29CD" w:rsidRDefault="00302171" w:rsidP="00CB29CD">
                  <w:pPr>
                    <w:pStyle w:val="a6"/>
                    <w:ind w:left="0"/>
                    <w:jc w:val="both"/>
                  </w:pPr>
                  <w:r w:rsidRPr="00CB29CD">
                    <w:lastRenderedPageBreak/>
                    <w:t>Функциональное назначение здания – жилое со встроенными нежилыми помещ</w:t>
                  </w:r>
                  <w:r w:rsidRPr="00CB29CD">
                    <w:t>е</w:t>
                  </w:r>
                  <w:r w:rsidRPr="00CB29CD">
                    <w:t>ниями.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lastRenderedPageBreak/>
                    <w:t xml:space="preserve">Технические характеристики объекта и его самостоятельных частей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302171">
                  <w:pPr>
                    <w:pStyle w:val="a3"/>
                    <w:jc w:val="both"/>
                  </w:pPr>
                  <w:r w:rsidRPr="00CB29CD">
                    <w:t xml:space="preserve">Проектом предусмотрено возведение </w:t>
                  </w:r>
                  <w:r w:rsidR="00302171" w:rsidRPr="00CB29CD">
                    <w:t>3</w:t>
                  </w:r>
                  <w:r w:rsidRPr="00CB29CD">
                    <w:t xml:space="preserve">-секционного 17-этажного жилого дома перекрестно-стеновой структуры с несущими внутренними продольными и поперечными стенами и панелями наружных стен. В качестве фундамента принята монолитная железобетонная плита толщиной 800 мм. Наружные стены техподполья сборные железобетонные. Панели наружных стен – железобетонные трехслойные с утеплителем. Панели внутренних стен – плоские железобетонные.  Высота технического подполья - 2,18 м, технического этажа – переменная от 1,60 до 2,00, жилых этажей - </w:t>
                  </w:r>
                  <w:smartTag w:uri="urn:schemas-microsoft-com:office:smarttags" w:element="metricconverter">
                    <w:smartTagPr>
                      <w:attr w:name="ProductID" w:val="2,8 м"/>
                    </w:smartTagPr>
                    <w:r w:rsidRPr="00CB29CD">
                      <w:t>2,8 м</w:t>
                    </w:r>
                  </w:smartTag>
                  <w:r w:rsidRPr="00CB29CD">
                    <w:t xml:space="preserve">. Дом оборудован пассажирскими лифтами грузоподъемностью </w:t>
                  </w:r>
                  <w:smartTag w:uri="urn:schemas-microsoft-com:office:smarttags" w:element="metricconverter">
                    <w:smartTagPr>
                      <w:attr w:name="ProductID" w:val="400 кг"/>
                    </w:smartTagPr>
                    <w:r w:rsidRPr="00CB29CD">
                      <w:t>400 кг</w:t>
                    </w:r>
                  </w:smartTag>
                  <w:r w:rsidRPr="00CB29CD">
                    <w:t>, а также грузопассажирскими грузоподъемностью 630 кг.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  <w:rPr>
                      <w:b/>
                    </w:rPr>
                  </w:pPr>
                  <w:r w:rsidRPr="00CB29CD">
                    <w:rPr>
                      <w:b/>
                    </w:rPr>
                    <w:t xml:space="preserve">1. Места общего пользования: 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Выполняются отделочные и специальные работы с «чистовой отделкой» в объеме проекта по: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Лестничным клеткам;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Лифтовым холлам и рекреациям по этажам;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Вестибюлям и лифтовым  холлам 1-го этажа жилой части;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Техподпольям;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Чердачным помещениям;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Крыше;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Шахтам лифтов и приямкам;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Помещениям  машинных отделений лифтов;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Помещениям электрощитовых, ОДС, пультовых и прочим спецпомещениям;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  <w:rPr>
                      <w:b/>
                    </w:rPr>
                  </w:pPr>
                  <w:r w:rsidRPr="00CB29CD">
                    <w:rPr>
                      <w:b/>
                    </w:rPr>
                    <w:t>2. Общестроительные работы: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  <w:rPr>
                      <w:b/>
                    </w:rPr>
                  </w:pPr>
                  <w:r w:rsidRPr="00CB29CD">
                    <w:rPr>
                      <w:b/>
                    </w:rPr>
                    <w:t>2.1. Квартиры: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Внутриквартирные перегородки</w:t>
                  </w:r>
                  <w:r w:rsidR="006B7A18">
                    <w:t xml:space="preserve"> и </w:t>
                  </w:r>
                  <w:r w:rsidRPr="00CB29CD">
                    <w:t xml:space="preserve"> перегородки, ограничивающие санузлы и кухни выполняются по проекту;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Выполняется установка входных дверных  блоков;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Выполняется установка оконных блоков по контуру  наружных стен с комплектацией скобяными изделиями по проекту;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Подоконные доски не устанавливаются;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Выравнивающие стяжки под устройст</w:t>
                  </w:r>
                  <w:r w:rsidR="006B7A18">
                    <w:t>во чистых полов не выполняются</w:t>
                  </w:r>
                  <w:r w:rsidRPr="00CB29CD">
                    <w:t xml:space="preserve">; 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Встроенная мебель (шкафы, антресоли, подстолья) не устанавливается;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Межкомнатные внутренние дверные блоки не устанавливаются;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Все последующие работы по доведению помещений до полной готовности выполняются собственниками помещений;</w:t>
                  </w:r>
                </w:p>
                <w:p w:rsidR="00AB5DDA" w:rsidRPr="00CB29CD" w:rsidRDefault="00AB5DDA" w:rsidP="00302171">
                  <w:pPr>
                    <w:ind w:firstLine="851"/>
                    <w:jc w:val="both"/>
                  </w:pPr>
                  <w:r w:rsidRPr="00CB29CD">
                    <w:t>- Нумерация квартир выполняется.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rPr>
                      <w:b/>
                    </w:rPr>
                    <w:t>2.2. Нежилые помещения без конкретной технологии:</w:t>
                  </w:r>
                  <w:r w:rsidRPr="00CB29CD">
                    <w:t xml:space="preserve"> 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t xml:space="preserve">- Устройство перегородок выполняется в объеме проекта. 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t>- Выполняется установка входных дверных блоков.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t xml:space="preserve">- Выполняется установка оконных блоков по контуру </w:t>
                  </w:r>
                  <w:r w:rsidRPr="00CB29CD">
                    <w:lastRenderedPageBreak/>
                    <w:t>наружных стен с комплектацией скобяными изделиями по проекту.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t>- Все последующие работы по доведению помещений до полной готовности выполняются собственниками нежилых помещений.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  <w:rPr>
                      <w:b/>
                    </w:rPr>
                  </w:pPr>
                  <w:r w:rsidRPr="00CB29CD">
                    <w:rPr>
                      <w:b/>
                    </w:rPr>
                    <w:t>3. Электромонтажные работы и слаботочные системы: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Электроплиты не поставляются и не устанавливаются;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Радио, телевидение, телефонизация, ОДС – выполняются в объеме проекта на оконечное устройство без ввода в квартиры;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 xml:space="preserve">- Пожарная система ППА и ДУ выполняется в объеме проекта. 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Поквартирные счетчики устанавливаются;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Выполняется прокладка кабеля от щитовой в нежилые помещения с установкой индивидуальных щитков механизации;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t xml:space="preserve">- Предусмотрены отдельные электрощитовые для жилой части дома и нежилых помещений. 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  <w:rPr>
                      <w:b/>
                    </w:rPr>
                  </w:pPr>
                  <w:r w:rsidRPr="00CB29CD">
                    <w:rPr>
                      <w:b/>
                    </w:rPr>
                    <w:t>4. Сантехнические работы: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Система отопления выполняется в объеме проекта;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Противопожарный водопровод. Выполняется в объеме проекта с комплектацией всего оборудования;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Сантехоборудование (душевые поддоны, ванны, умывальники, компакт - унитазы, мойки) не устанавливаются;</w:t>
                  </w:r>
                </w:p>
                <w:p w:rsidR="006B7A18" w:rsidRDefault="00AB5DDA" w:rsidP="00302171">
                  <w:pPr>
                    <w:ind w:firstLine="567"/>
                    <w:jc w:val="both"/>
                  </w:pPr>
                  <w:r w:rsidRPr="00CB29CD">
      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      </w:r>
                </w:p>
                <w:p w:rsidR="00AB5DDA" w:rsidRPr="00CB29CD" w:rsidRDefault="00AB5DDA" w:rsidP="0030217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</w:pPr>
                  <w:r w:rsidRPr="00CB29CD">
                    <w:t>- Счетчики расхода горячей и холодной воды нежилых помещений устанавливаются на общий ввод в нежилое помещение.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lastRenderedPageBreak/>
      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Для сдачи систем на эффект эксплуатирующим организациям выполняется опрессовка и пролив.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  <w:rPr>
                      <w:b/>
                    </w:rPr>
                  </w:pPr>
                  <w:r w:rsidRPr="00CB29CD">
                    <w:rPr>
                      <w:b/>
                    </w:rPr>
                    <w:t>5. Лифтовое оборудование: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Монтаж  и наладка  лифтового оборудования выполняется в объеме проекта с оформлением  формы №1 до приемки дома в эксплуатацию.</w:t>
                  </w:r>
                </w:p>
                <w:p w:rsidR="00AB5DDA" w:rsidRPr="00CB29CD" w:rsidRDefault="00AB5DDA" w:rsidP="00302171">
                  <w:pPr>
                    <w:ind w:firstLine="567"/>
                    <w:jc w:val="both"/>
                  </w:pPr>
                  <w:r w:rsidRPr="00CB29CD">
      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lastRenderedPageBreak/>
                    <w:t>Состав общего имущества в жилом доме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0C4D29" w:rsidP="000C4D29">
                  <w:pPr>
                    <w:pStyle w:val="a3"/>
                    <w:spacing w:line="270" w:lineRule="atLeast"/>
                    <w:jc w:val="both"/>
                  </w:pPr>
                  <w:r w:rsidRPr="00CB29CD">
                    <w:t>Тамбуры, межквартирные лестничные площадки, лестнично-лифтовой узел, мусорокамеры, переходные ло</w:t>
                  </w:r>
                  <w:r w:rsidRPr="00CB29CD">
                    <w:t>д</w:t>
                  </w:r>
                  <w:r w:rsidRPr="00CB29CD">
                    <w:t>жии,  коридоры, технические этажи (чердак, подвал),  ограждающие несущие и ненесущие конструкции объекта, механическое, электрическое, санитарно-техническое оборудование, оборудование электрощитовых, ТП и ВНС, внутриплощадочные сети к жилому д</w:t>
                  </w:r>
                  <w:r w:rsidRPr="00CB29CD">
                    <w:t>о</w:t>
                  </w:r>
                  <w:r w:rsidRPr="00CB29CD">
                    <w:t>му № 6/1 застройки IV Северо-Восточного микрорайона  г. Т</w:t>
                  </w:r>
                  <w:r w:rsidRPr="00CB29CD">
                    <w:t>у</w:t>
                  </w:r>
                  <w:r w:rsidRPr="00CB29CD">
                    <w:t>лы.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 xml:space="preserve">Предполагаемый срок для получения разрешения на ввод дома в эксплуатацию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C4D29" w:rsidRPr="00CB29CD" w:rsidRDefault="000C4D29" w:rsidP="000C4D29">
                  <w:pPr>
                    <w:jc w:val="both"/>
                  </w:pPr>
                  <w:r w:rsidRPr="00CB29CD">
                    <w:rPr>
                      <w:lang w:val="en-US"/>
                    </w:rPr>
                    <w:t>IV</w:t>
                  </w:r>
                  <w:r w:rsidRPr="00CB29CD">
                    <w:t xml:space="preserve"> квартал 2014 года</w:t>
                  </w:r>
                </w:p>
                <w:p w:rsidR="000C4D29" w:rsidRPr="00CB29CD" w:rsidRDefault="000C4D29" w:rsidP="000C4D29">
                  <w:pPr>
                    <w:jc w:val="both"/>
                  </w:pPr>
                </w:p>
                <w:p w:rsidR="00AB5DDA" w:rsidRPr="00CB29CD" w:rsidRDefault="00AB5DDA" w:rsidP="000C4D29">
                  <w:pPr>
                    <w:jc w:val="both"/>
                  </w:pP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>Орган, уполномоченный на выдачу разрешения на ввод объекта в эксплуатацию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0C4D29" w:rsidP="00AB5DDA">
                  <w:pPr>
                    <w:jc w:val="both"/>
                  </w:pPr>
                  <w:r w:rsidRPr="00CB29CD">
                    <w:t>Администрация города Тулы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  <w:jc w:val="both"/>
                  </w:pPr>
                  <w:r w:rsidRPr="00CB29CD">
                    <w:t>По мнению застройщика, подобные риски отсутствуют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</w:pPr>
                  <w:r w:rsidRPr="00CB29CD">
                    <w:rPr>
                      <w:rStyle w:val="a7"/>
                    </w:rPr>
                    <w:t>Планируемая стоимость строительства (создания) многоквартирного дома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0C4D29">
                  <w:pPr>
                    <w:pStyle w:val="a3"/>
                    <w:jc w:val="both"/>
                  </w:pPr>
                  <w:r w:rsidRPr="00CB29CD">
                    <w:t xml:space="preserve">Планируемая стоимость строительства составляет </w:t>
                  </w:r>
                  <w:r w:rsidR="000C4D29" w:rsidRPr="00CB29CD">
                    <w:t>3</w:t>
                  </w:r>
                  <w:r w:rsidRPr="00CB29CD">
                    <w:t>50 млн. руб.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  <w:jc w:val="both"/>
                    <w:rPr>
                      <w:rStyle w:val="a7"/>
                    </w:rPr>
                  </w:pPr>
                  <w:r w:rsidRPr="00CB29CD">
                    <w:rPr>
                      <w:rStyle w:val="a7"/>
                    </w:rPr>
                    <w:t>Организации, осуществляющие основные строительно-монтажные и другие работы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  <w:jc w:val="both"/>
                  </w:pPr>
                  <w:r w:rsidRPr="00CB29CD">
                    <w:t xml:space="preserve">Осуществляется застройщиком собственными силами. 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  <w:rPr>
                      <w:rStyle w:val="a7"/>
                    </w:rPr>
                  </w:pPr>
                  <w:r w:rsidRPr="00CB29CD">
                    <w:rPr>
                      <w:rStyle w:val="a7"/>
                    </w:rPr>
                    <w:t>Способы обеспечения исполнения обязательств застройщика по договору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shd w:val="clear" w:color="auto" w:fill="FFFFFF"/>
                    <w:spacing w:before="14" w:line="293" w:lineRule="exact"/>
                    <w:ind w:left="19"/>
                    <w:jc w:val="both"/>
                  </w:pPr>
                  <w:r w:rsidRPr="00CB29CD">
                    <w:rPr>
                      <w:color w:val="000000"/>
                    </w:rPr>
      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      </w:r>
                  <w:r w:rsidRPr="00CB29CD">
                    <w:rPr>
                      <w:color w:val="000000"/>
                      <w:spacing w:val="-1"/>
                    </w:rPr>
                    <w:t>акты Российской Федерации».</w:t>
                  </w:r>
                </w:p>
              </w:tc>
            </w:tr>
            <w:tr w:rsidR="00AB5DDA" w:rsidRPr="00CB29CD" w:rsidTr="006B7A18">
              <w:trPr>
                <w:tblCellSpacing w:w="0" w:type="dxa"/>
              </w:trPr>
              <w:tc>
                <w:tcPr>
                  <w:tcW w:w="367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pStyle w:val="a3"/>
                    <w:rPr>
                      <w:rStyle w:val="a7"/>
                    </w:rPr>
                  </w:pPr>
                  <w:r w:rsidRPr="00CB29CD">
                    <w:rPr>
                      <w:rStyle w:val="a7"/>
                    </w:rPr>
                    <w:t>Иные сделки, связанные с привлечением денежных средств для строительства: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DDA" w:rsidRPr="00CB29CD" w:rsidRDefault="00AB5DDA" w:rsidP="00AB5DDA">
                  <w:pPr>
                    <w:shd w:val="clear" w:color="auto" w:fill="FFFFFF"/>
                  </w:pPr>
                  <w:r w:rsidRPr="00CB29CD">
                    <w:t>Отсутствуют.</w:t>
                  </w:r>
                </w:p>
              </w:tc>
            </w:tr>
          </w:tbl>
          <w:p w:rsidR="0093687E" w:rsidRPr="00CB29CD" w:rsidRDefault="0093687E" w:rsidP="005E1730">
            <w:pPr>
              <w:pStyle w:val="a3"/>
              <w:spacing w:line="270" w:lineRule="atLeast"/>
            </w:pPr>
            <w:r w:rsidRPr="00CB29CD">
              <w:t> </w:t>
            </w:r>
          </w:p>
          <w:p w:rsidR="0093687E" w:rsidRPr="00CB29CD" w:rsidRDefault="0093687E" w:rsidP="005E1730">
            <w:pPr>
              <w:rPr>
                <w:b/>
              </w:rPr>
            </w:pPr>
            <w:r w:rsidRPr="00CB29CD">
              <w:rPr>
                <w:b/>
              </w:rPr>
              <w:t xml:space="preserve">Генеральный директор  </w:t>
            </w:r>
          </w:p>
          <w:p w:rsidR="0093687E" w:rsidRPr="00CB29CD" w:rsidRDefault="0093687E" w:rsidP="005E1730">
            <w:pPr>
              <w:rPr>
                <w:b/>
              </w:rPr>
            </w:pPr>
            <w:r w:rsidRPr="00CB29CD">
              <w:rPr>
                <w:b/>
              </w:rPr>
              <w:t>ЗАО «СУ № 155»</w:t>
            </w:r>
            <w:r w:rsidR="00D7547A" w:rsidRPr="00CB29CD">
              <w:rPr>
                <w:b/>
              </w:rPr>
              <w:t xml:space="preserve">   </w:t>
            </w:r>
            <w:r w:rsidRPr="00CB29CD">
              <w:rPr>
                <w:b/>
              </w:rPr>
              <w:tab/>
            </w:r>
            <w:r w:rsidRPr="00CB29CD">
              <w:rPr>
                <w:b/>
              </w:rPr>
              <w:tab/>
            </w:r>
            <w:r w:rsidRPr="00CB29CD">
              <w:rPr>
                <w:b/>
              </w:rPr>
              <w:tab/>
            </w:r>
            <w:r w:rsidRPr="00CB29CD">
              <w:rPr>
                <w:b/>
              </w:rPr>
              <w:tab/>
            </w:r>
            <w:r w:rsidRPr="00CB29CD">
              <w:rPr>
                <w:b/>
              </w:rPr>
              <w:tab/>
            </w:r>
            <w:r w:rsidRPr="00CB29CD">
              <w:rPr>
                <w:b/>
              </w:rPr>
              <w:tab/>
            </w:r>
            <w:r w:rsidR="00545EDE">
              <w:rPr>
                <w:b/>
              </w:rPr>
              <w:t xml:space="preserve">                                </w:t>
            </w:r>
            <w:r w:rsidRPr="00CB29CD">
              <w:rPr>
                <w:b/>
              </w:rPr>
              <w:t>А. С. Мещеряков</w:t>
            </w:r>
          </w:p>
          <w:p w:rsidR="0093687E" w:rsidRPr="00CB29CD" w:rsidRDefault="0093687E" w:rsidP="005E1730">
            <w:pPr>
              <w:pStyle w:val="a3"/>
              <w:spacing w:line="270" w:lineRule="atLeas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87E" w:rsidRPr="00CB29CD" w:rsidRDefault="006010A9" w:rsidP="005E1730">
            <w:pPr>
              <w:spacing w:line="270" w:lineRule="atLeas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5000" cy="9525"/>
                  <wp:effectExtent l="0" t="0" r="0" b="0"/>
                  <wp:docPr id="1" name="Рисунок 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87E" w:rsidRDefault="00545EDE">
      <w:r>
        <w:lastRenderedPageBreak/>
        <w:t>П</w:t>
      </w:r>
      <w:r w:rsidR="0093687E" w:rsidRPr="00CB29CD">
        <w:t xml:space="preserve">роектная декларация размещена на сайте: </w:t>
      </w:r>
      <w:hyperlink r:id="rId6" w:history="1">
        <w:r w:rsidR="0093687E" w:rsidRPr="00CB29CD">
          <w:rPr>
            <w:rStyle w:val="a5"/>
            <w:b/>
            <w:lang w:val="en-US"/>
          </w:rPr>
          <w:t>www</w:t>
        </w:r>
        <w:r w:rsidR="0093687E" w:rsidRPr="00CB29CD">
          <w:rPr>
            <w:rStyle w:val="a5"/>
            <w:b/>
          </w:rPr>
          <w:t>.</w:t>
        </w:r>
        <w:r w:rsidR="0093687E" w:rsidRPr="00CB29CD">
          <w:rPr>
            <w:rStyle w:val="a5"/>
            <w:b/>
            <w:lang w:val="en-US"/>
          </w:rPr>
          <w:t>su</w:t>
        </w:r>
        <w:r w:rsidR="0093687E" w:rsidRPr="00CB29CD">
          <w:rPr>
            <w:rStyle w:val="a5"/>
            <w:b/>
          </w:rPr>
          <w:t>155.</w:t>
        </w:r>
        <w:r w:rsidR="0093687E" w:rsidRPr="00CB29CD">
          <w:rPr>
            <w:rStyle w:val="a5"/>
            <w:b/>
            <w:lang w:val="en-US"/>
          </w:rPr>
          <w:t>ru</w:t>
        </w:r>
      </w:hyperlink>
      <w:r w:rsidR="0093687E" w:rsidRPr="00CB29CD">
        <w:rPr>
          <w:b/>
        </w:rPr>
        <w:t xml:space="preserve"> </w:t>
      </w:r>
      <w:r w:rsidR="00CB29CD" w:rsidRPr="00CB29CD">
        <w:rPr>
          <w:b/>
        </w:rPr>
        <w:t>–</w:t>
      </w:r>
      <w:r w:rsidR="0093687E" w:rsidRPr="00CB29CD">
        <w:rPr>
          <w:b/>
        </w:rPr>
        <w:t xml:space="preserve"> </w:t>
      </w:r>
      <w:r w:rsidR="00CB29CD" w:rsidRPr="00CB29CD">
        <w:t>02.04</w:t>
      </w:r>
      <w:r w:rsidR="002E4666" w:rsidRPr="00CB29CD">
        <w:t>.2013</w:t>
      </w:r>
      <w:r w:rsidR="00BF6FE9" w:rsidRPr="00CB29CD">
        <w:t xml:space="preserve"> </w:t>
      </w:r>
      <w:r w:rsidR="0093687E" w:rsidRPr="00CB29CD">
        <w:t>г.</w:t>
      </w:r>
    </w:p>
    <w:sectPr w:rsidR="0093687E" w:rsidSect="005E17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B522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readOnly" w:enforcement="1" w:cryptProviderType="rsaFull" w:cryptAlgorithmClass="hash" w:cryptAlgorithmType="typeAny" w:cryptAlgorithmSid="4" w:cryptSpinCount="100000" w:hash="o+x2EQCb8tkY/MHIwjirj2aQti4=" w:salt="ErTXtHwDKtk7hJz3iFxARQ=="/>
  <w:defaultTabStop w:val="708"/>
  <w:characterSpacingControl w:val="doNotCompress"/>
  <w:compat/>
  <w:rsids>
    <w:rsidRoot w:val="0093687E"/>
    <w:rsid w:val="00011012"/>
    <w:rsid w:val="000C4D29"/>
    <w:rsid w:val="00271D78"/>
    <w:rsid w:val="002E4666"/>
    <w:rsid w:val="00302171"/>
    <w:rsid w:val="003062C4"/>
    <w:rsid w:val="00374ABA"/>
    <w:rsid w:val="0046289F"/>
    <w:rsid w:val="004C23C6"/>
    <w:rsid w:val="00545EDE"/>
    <w:rsid w:val="005E1730"/>
    <w:rsid w:val="006010A9"/>
    <w:rsid w:val="00692303"/>
    <w:rsid w:val="006B7A18"/>
    <w:rsid w:val="007811EE"/>
    <w:rsid w:val="00822756"/>
    <w:rsid w:val="00855697"/>
    <w:rsid w:val="008A00D5"/>
    <w:rsid w:val="0093687E"/>
    <w:rsid w:val="00A13C51"/>
    <w:rsid w:val="00A5135C"/>
    <w:rsid w:val="00AB5DDA"/>
    <w:rsid w:val="00B536E0"/>
    <w:rsid w:val="00BA0D5F"/>
    <w:rsid w:val="00BB538E"/>
    <w:rsid w:val="00BF6FE9"/>
    <w:rsid w:val="00C2629F"/>
    <w:rsid w:val="00C94717"/>
    <w:rsid w:val="00C95AC8"/>
    <w:rsid w:val="00CB29CD"/>
    <w:rsid w:val="00D352C9"/>
    <w:rsid w:val="00D7547A"/>
    <w:rsid w:val="00EE3874"/>
    <w:rsid w:val="00F109AB"/>
    <w:rsid w:val="00FA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687E"/>
  </w:style>
  <w:style w:type="character" w:styleId="a4">
    <w:name w:val="Emphasis"/>
    <w:basedOn w:val="a0"/>
    <w:qFormat/>
    <w:rsid w:val="0093687E"/>
    <w:rPr>
      <w:i/>
      <w:iCs/>
    </w:rPr>
  </w:style>
  <w:style w:type="character" w:styleId="a5">
    <w:name w:val="Hyperlink"/>
    <w:basedOn w:val="a0"/>
    <w:rsid w:val="0093687E"/>
    <w:rPr>
      <w:color w:val="0000FF"/>
      <w:u w:val="single"/>
    </w:rPr>
  </w:style>
  <w:style w:type="paragraph" w:styleId="a6">
    <w:name w:val="List Paragraph"/>
    <w:basedOn w:val="a"/>
    <w:qFormat/>
    <w:rsid w:val="0093687E"/>
    <w:pPr>
      <w:ind w:left="720"/>
      <w:contextualSpacing/>
    </w:pPr>
  </w:style>
  <w:style w:type="character" w:styleId="a7">
    <w:name w:val="Strong"/>
    <w:basedOn w:val="a0"/>
    <w:qFormat/>
    <w:rsid w:val="00271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15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4092</Words>
  <Characters>23325</Characters>
  <Application>Microsoft Office Word</Application>
  <DocSecurity>8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27363</CharactersWithSpaces>
  <SharedDoc>false</SharedDoc>
  <HLinks>
    <vt:vector size="6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User</dc:creator>
  <cp:keywords/>
  <dc:description/>
  <cp:lastModifiedBy>user_m20</cp:lastModifiedBy>
  <cp:revision>2</cp:revision>
  <cp:lastPrinted>2013-04-02T10:55:00Z</cp:lastPrinted>
  <dcterms:created xsi:type="dcterms:W3CDTF">2013-07-02T12:16:00Z</dcterms:created>
  <dcterms:modified xsi:type="dcterms:W3CDTF">2013-07-02T12:16:00Z</dcterms:modified>
</cp:coreProperties>
</file>